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25" w:rsidRPr="00851A25" w:rsidRDefault="00851A25" w:rsidP="00851A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 </w:t>
      </w:r>
      <w:r w:rsidRPr="00851A2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 </w:t>
      </w:r>
    </w:p>
    <w:p w:rsidR="00851A25" w:rsidRPr="00851A25" w:rsidRDefault="00851A25" w:rsidP="00851A25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Przedmiotowy</w:t>
      </w:r>
      <w:r w:rsidR="001B66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zasady</w:t>
      </w:r>
      <w:r w:rsidR="001B66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oceniania dla klas IV z przyrody </w:t>
      </w:r>
    </w:p>
    <w:p w:rsidR="00851A25" w:rsidRPr="00851A25" w:rsidRDefault="00851A25" w:rsidP="00851A25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Szkole Podstawowej nr 375 </w:t>
      </w:r>
    </w:p>
    <w:p w:rsidR="00851A25" w:rsidRPr="00851A25" w:rsidRDefault="00851A25" w:rsidP="00851A25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im. Orląt Lwowskich w Warszawie</w:t>
      </w:r>
    </w:p>
    <w:p w:rsidR="00851A25" w:rsidRPr="00851A25" w:rsidRDefault="00851A25" w:rsidP="00851A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 PODSTAWA PRAWNA: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Rozporządzenie Ministra Edukacji Narodowej z dnia 22 lutego 2019 roku w sprawie oceniania, klasyfikowania i promowania uczniów i słuchaczy w szkołach publicznych (Dz. U. poz. 373)</w:t>
      </w:r>
    </w:p>
    <w:p w:rsidR="00851A25" w:rsidRPr="00851A25" w:rsidRDefault="001B6638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851A25" w:rsidRPr="00851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Podstawa 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rogramowa kształcenia ogólnego.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1B66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 nauczania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1B66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Zasady Wewnątrzszkolnego Oceniania zawarte w statucie szkoły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A25" w:rsidRPr="00851A25" w:rsidRDefault="00851A25" w:rsidP="00851A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 UWAGI OGÓLNE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1A25" w:rsidRPr="00851A25" w:rsidRDefault="00851A25" w:rsidP="00851A2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kryterium oceniania ucznia są jego osobiste predyspozycje, stopień indywidualnego zaangażowania, aktywność i wysiłek. </w:t>
      </w:r>
    </w:p>
    <w:p w:rsidR="00851A25" w:rsidRPr="00851A25" w:rsidRDefault="00851A25" w:rsidP="00851A25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 wymagania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 w stosunku do ucznia, u którego stwierdzono deficyty rozwojowe, uniemożliwiające sprostanie wymaganiom szkolnym. Podstawą do dostosowań wymagań jest pisemna opinia lub orzeczenie Poradni Psychologiczno-Pedagogicznej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A25" w:rsidRPr="00851A25" w:rsidRDefault="00851A25" w:rsidP="00851A25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podlegają umiejętności, aktywność, postępy ucznia i jego stan wiedzy.</w:t>
      </w:r>
    </w:p>
    <w:p w:rsidR="00851A25" w:rsidRPr="00851A25" w:rsidRDefault="00851A25" w:rsidP="00851A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OCENIANIE I JEGO FORMY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.W szkole obowiązuje 6-stopniowa skala ocen (od 1 do 6).</w:t>
      </w:r>
    </w:p>
    <w:p w:rsidR="00851A25" w:rsidRPr="00851A25" w:rsidRDefault="00851A25" w:rsidP="001B663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ocenie mogą podlegać następujące rodzaje aktywności uczniów:</w:t>
      </w:r>
    </w:p>
    <w:p w:rsidR="00851A25" w:rsidRPr="00851A25" w:rsidRDefault="001B6638" w:rsidP="001B6638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="00851A25" w:rsidRPr="0085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pisemne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1A25"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w formie pisemnej, a ich celem jest sprawdzenie wiadomości i umiejętności ucznia z zakresu danego działu</w:t>
      </w:r>
      <w:r w:rsidR="00851A25" w:rsidRPr="00851A2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51A25" w:rsidRPr="00851A25" w:rsidRDefault="00851A25" w:rsidP="00851A2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a)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klasowe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są planowane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każdego działu,</w:t>
      </w:r>
    </w:p>
    <w:p w:rsidR="00851A25" w:rsidRPr="00851A25" w:rsidRDefault="00851A25" w:rsidP="00851A25">
      <w:pPr>
        <w:spacing w:after="0" w:line="240" w:lineRule="auto"/>
        <w:ind w:left="360"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b)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każdą pracą klasową nauczyciel podaje jej zakres programowy,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c)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pracę klasową poprzedza lekcja powtórzeniowa, podczas której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zwraca uwagę uczniów na najważniejsze zagadnienia z danego działu.</w:t>
      </w:r>
    </w:p>
    <w:p w:rsidR="00851A25" w:rsidRPr="00851A25" w:rsidRDefault="00851A25" w:rsidP="00851A2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="001B6638" w:rsidRP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6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kartkówki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przeprowadza się w formie pisemnej, a ich celem jest sprawdzenie wiadomości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ucznia z zakresu programowego maksymalnie z 3 ostatnich jednostek lekcyjnych.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a) nauczyciel nie ma obowiązku uprzedzania uczniów o terminie i zakresie programowym kartkówki,</w:t>
      </w:r>
    </w:p>
    <w:p w:rsidR="00851A25" w:rsidRPr="00851A25" w:rsidRDefault="00851A25" w:rsidP="00851A2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kartkówka jest tak skonstruowana, by uczeń mógł wykonać wszystkie polecenia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nie dłuższym niż 15 minut.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6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  <w:r w:rsidRPr="0085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ustna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zakres programowy aktualnie realizowanego działu. Oceniając odpowiedź ustną, nauczyciel bierze pod uwagę: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a) zgodność wypowiedzi z postawionym pytaniem,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prawidłowe posługiwanie się pojęciami,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c) zawartość merytoryczną wypowiedzi,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d) sposób formułowania wypowiedzi.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pisemną lub ustną formą ćwiczenia umiejętności i utrwalania wiadomości zdobytych przez ucznia podczas lekcji.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pisemną pracę domową uczeń wykonuje w zeszycie, w zeszycie ćwiczeń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zleconej przez nauczyciela,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 wystawianiu oceny za pracę domową nauczyciel bierze pod uwagę samodzielność, poprawność wykonania i włożony wysiłek.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6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</w:t>
      </w:r>
      <w:r w:rsidRPr="0085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praca ucznia na lekcji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nagradzana oceną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lub,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zależnie od ich charakteru, za pomocą plusów (+).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uczeń może uzyskać „plus” m.in. za samodzielne wykonanie krótkiej pracy na lekcji, krótką, prawidłową odpowiedź ustną, aktywną pracę w grupie, pomoc koleżeńską na lekcji przy rozwiązaniu problemu, przygotowanie do zajęć,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uczeń decyduje, jaką liczbę zdobytych „plusów” chce zamienić na ocenę bieżącą: 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6 „plusów”=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celująca, 5 „plusów”-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dobra, 4 - „plusy”-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dobra.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czym procedura 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się od początku.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Niewykorzystane plusy w I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śródroczu</w:t>
      </w:r>
      <w:proofErr w:type="spellEnd"/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wykorzystać w II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śródroczu</w:t>
      </w:r>
      <w:proofErr w:type="spellEnd"/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Plusy nauczyciel odnotowuje w dzienniku elektronicznym.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6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</w:t>
      </w:r>
      <w:r w:rsidRPr="0085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praktyczne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 zadania, które uczeń wykonuje podczas lekcji. Oceniając je, nauczyciel bierze pod uwagę: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merytoryczną,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b) dokładność wykonania polecenia,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c) staranność,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d) w wypadku pracy w grupie stopień zaangażowania w wykonanie ćwiczenia.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7)</w:t>
      </w:r>
      <w:r w:rsidR="001B6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6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</w:t>
      </w:r>
      <w:r w:rsidRPr="0085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dodatkowe</w:t>
      </w:r>
      <w:r w:rsidR="001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 dodatkowe zadania dla zainteresowanych uczniów, prace projektowe wykonane indywidualnie lub zespołowo, przygotowanie gazetki ściennej, wykonanie pomocy naukowych,</w:t>
      </w:r>
      <w:r w:rsid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doświadczeń, makiet,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itp. Oceniając ten rodzaj pracy, nauczyciel bierze pod uwagę np.: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merytoryczną pracy,</w:t>
      </w:r>
    </w:p>
    <w:p w:rsidR="00851A25" w:rsidRPr="00851A25" w:rsidRDefault="00851A25" w:rsidP="00851A25">
      <w:pPr>
        <w:spacing w:after="0" w:line="240" w:lineRule="auto"/>
        <w:ind w:left="360"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b) estetykę wykonania,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c) wkład pracy ucznia,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d) sposób prezentacji,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e) oryginalność i pomysłowość pracy.</w:t>
      </w:r>
    </w:p>
    <w:p w:rsidR="00851A25" w:rsidRPr="00851A25" w:rsidRDefault="00A476DF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klasowe, sprawdziany i kartkówki uczniowie piszą długopisem nieścieralnym. </w:t>
      </w:r>
    </w:p>
    <w:p w:rsidR="00851A25" w:rsidRPr="00851A25" w:rsidRDefault="00A476DF" w:rsidP="00851A2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Skala oceniania prac klasowych</w:t>
      </w:r>
      <w:r w:rsidRPr="00851A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51A25" w:rsidRPr="00851A25" w:rsidRDefault="00A476DF" w:rsidP="00851A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tbl>
      <w:tblPr>
        <w:tblW w:w="0" w:type="dxa"/>
        <w:tblInd w:w="1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3240"/>
      </w:tblGrid>
      <w:tr w:rsidR="00851A25" w:rsidRPr="00851A25" w:rsidTr="00851A25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1A25" w:rsidRPr="00851A25" w:rsidRDefault="00A476DF" w:rsidP="00A476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</w:t>
            </w:r>
            <w:r w:rsidR="00851A25" w:rsidRPr="0085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Prace pisemne</w:t>
            </w:r>
          </w:p>
        </w:tc>
      </w:tr>
      <w:tr w:rsidR="00851A25" w:rsidRPr="00851A25" w:rsidTr="00851A25"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1A25" w:rsidRPr="00851A25" w:rsidRDefault="00851A25" w:rsidP="00A476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1A25" w:rsidRPr="00851A25" w:rsidRDefault="00A476DF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  <w:tr w:rsidR="00851A25" w:rsidRPr="00851A25" w:rsidTr="00851A25"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99% - 93%</w:t>
            </w:r>
          </w:p>
        </w:tc>
      </w:tr>
      <w:tr w:rsidR="00851A25" w:rsidRPr="00851A25" w:rsidTr="00851A25"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92% - 75%</w:t>
            </w:r>
          </w:p>
        </w:tc>
      </w:tr>
      <w:tr w:rsidR="00851A25" w:rsidRPr="00851A25" w:rsidTr="00851A25"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74% - 51%</w:t>
            </w:r>
          </w:p>
        </w:tc>
      </w:tr>
      <w:tr w:rsidR="00851A25" w:rsidRPr="00851A25" w:rsidTr="00851A25"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50% - 30%</w:t>
            </w:r>
          </w:p>
        </w:tc>
      </w:tr>
      <w:tr w:rsidR="00851A25" w:rsidRPr="00851A25" w:rsidTr="00851A25">
        <w:tc>
          <w:tcPr>
            <w:tcW w:w="3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1A25" w:rsidRPr="00851A25" w:rsidRDefault="00851A25" w:rsidP="00851A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29% - 0%</w:t>
            </w:r>
          </w:p>
        </w:tc>
      </w:tr>
    </w:tbl>
    <w:p w:rsidR="00851A25" w:rsidRPr="00851A25" w:rsidRDefault="00A476DF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Nieprzygotowania</w:t>
      </w:r>
    </w:p>
    <w:p w:rsidR="00851A25" w:rsidRPr="00851A25" w:rsidRDefault="00A476DF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półrocza uczeń ma prawo zgłoszenia </w:t>
      </w:r>
      <w:r w:rsid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nieprzygotowa</w:t>
      </w:r>
      <w:r w:rsid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lekcji bez ponoszenia konsekwencji (nie dotyczy zapowiedzianych prac pisemnych). Nieprzygotowanie może dotyczyć braku pracy domowej, zeszytu ćwiczeń, zeszytu przedmiotowego, przyborów i pomocy szkolnych. Każde następne nieprzygotowanie zostanie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odnotowane za pomocą „minusa”.</w:t>
      </w:r>
    </w:p>
    <w:p w:rsidR="00851A25" w:rsidRPr="00851A25" w:rsidRDefault="00851A25" w:rsidP="00851A2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minusów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ocenie niedostatecznej, po czym procedura rozpoczyna się od początku. Minusy nauczyciel odnotowuje w dzienniku elektronicznym.</w:t>
      </w:r>
    </w:p>
    <w:p w:rsidR="00851A25" w:rsidRPr="00851A25" w:rsidRDefault="00A476DF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Informowanie uczniów o sprawdzianach</w:t>
      </w:r>
    </w:p>
    <w:p w:rsidR="00851A25" w:rsidRPr="00851A25" w:rsidRDefault="00A476DF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klasowe, sprawdziany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do terminarza w dzienniku elektronicznym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z co najmniej tygodniowym wyprzedzeniem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</w:t>
      </w:r>
      <w:r w:rsidR="00A4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dwóch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tygodni (sprawdziany zewnętrzne i próbne egzaminacyjne – do trzech tygodni).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dniu może odbyć się tylko jeden sprawdzian/praca klasowa, w tygodniu – trzy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 że jest przełożony na prośbę uczniów. Wtedy nauczyciel ten fakt zapisuje w terminarzu w dzienniku elektronicznym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sprawdzian przełożony 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…(wpisać datę) na prośbę uczniów.</w:t>
      </w:r>
    </w:p>
    <w:p w:rsidR="00851A25" w:rsidRPr="00851A25" w:rsidRDefault="006E2594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Poprawa ocen</w:t>
      </w:r>
    </w:p>
    <w:p w:rsidR="00851A25" w:rsidRPr="00851A25" w:rsidRDefault="006E2594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poprawić daną ocenę w ciągu 2 tygodni od jej wystawienia. Dopuszcza się jedną możliwość poprawy oceny. F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ormę poprawy ustala nauczyciel.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wystawianiu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 brana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jedynie ocena wyższa.</w:t>
      </w:r>
    </w:p>
    <w:p w:rsidR="00851A25" w:rsidRPr="00851A25" w:rsidRDefault="00C04BA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 Obowiązek uzupełnienia wiedzy w przypadku nieobecności ucznia</w:t>
      </w:r>
    </w:p>
    <w:p w:rsidR="00851A25" w:rsidRPr="00851A25" w:rsidRDefault="00851A25" w:rsidP="00851A2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na zajęciach jest zobowiązany do uzupełnienia wiedzy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oraz braków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przedmiotowym/ćwiczeniówce powstałych w trakcie jego nieobecności – w terminie wyznaczonym przez nauczyciela.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E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WARUNKI I TRYB UZYSKANIA WYŻSZEJ NIŻ PRZEWIDYWANA ŚRÓDROCZNEJ ROCZNEJ OCENY KLASYFIKACYJNEJ </w:t>
      </w:r>
      <w:r w:rsidR="00C0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E5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ZAJĘĆ EDUKACYJNYCH</w:t>
      </w:r>
      <w:r w:rsidRPr="001E55A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51A25" w:rsidRPr="00851A25" w:rsidRDefault="00851A25" w:rsidP="00851A25">
      <w:p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Tryb i warunki uzyskania wyższej niż przewidywana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 oceny z zajęć edukacyjnych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może ubiegać się o podwyższenie przewidywanej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5AE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 i rocznej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 ubiegania się o ocenę wyższą niż przewidywana: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przystąpienie do wszystkich przewidzianych przez nauczyciela form sprawdzianów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i prac pisemnych;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2) skorzystanie ze wszystkich oferowanych przez nauczyciela form poprawy, w tym-konsultacji indywidualnych;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3) zaistnienie innych ważnych okoliczności uniemożliwiających uzyskanie oceny wyższej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przez nauczyciela (np. długotrwała choroba, sytuacja rodzinna).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Rodzice/opiekunowie prawni ucznia ubiegającego się o podwyższenie oceny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kontaktują się bezpośrednio z nauczycielem przedmiotu nie później niż dwa tygodnie przed wystawieniem oceny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9B9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pl-PL"/>
        </w:rPr>
        <w:t>czyli przed posiedzeniem Klasyfikacyjnej Rady Pedagogicznej</w:t>
      </w: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spełnienia przez ucznia wszystkich warunków, nauczyciel przedmiotu</w:t>
      </w:r>
      <w:r w:rsidR="00C0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przystąpienie do poprawy oceny.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niespełnienia któregokolwiek z warun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ków, wniosek zostaje odrzucony,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a nauczyciel odnotowuje na nim przyczynę jego odrzucenia. O zaistniałym fakcie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ucznia i rodziców/prawnych opiekunów.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Uczeń spełniający wszystkie warunki najpóźniej na 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klasyfikacyjnym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posiedzeniem Rady Pedagogicznej przystępuje do przygotowanego przez nauczyciela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dodatkowego sprawdzianu;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7. O formie i terminie nauczyciel przedmiotu informuje na piśmie osoby zainteresowane;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8. Sprawdzian może mieć formę: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1) pisemną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ustną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9. Sprawdzian obejmuje wymagania edukacyjne na stopień, o który ubiega się uczeń.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10. Sprawdzian przeprowadza i ocenia nauczyciel, który wystawił ocenę przewidywaną.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sprawdzianu może być obecny wychowawca lub inny nauczyciel tego samego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Sprawdzian, oceniony zgodnie z przedmiotowym systemem oceniania, zostaje dołączony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nauczyciela przedmiotu.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12. Poprawa oceny może nastąpić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o jeden stopień i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 przypadku, gdy sprawdzian został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zaliczony na ocenę, o którą ubiega się uczeń lub ocenę wyższą.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Wystawiona ocena jest ostateczna.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13. Ostateczna ocena roczna nie może być niższa od oceny proponowanej, niezależnie od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sprawdzianu, do którego przystąpił uczeń w ramach poprawy.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Jeżeli uczeń nie przystąpi do sprawdzianu w wyznaczonym terminie 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nieusprawiedliwionych, traci prawo do ubiegania się o podwyższenie oceny.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15. W przypadku nieobecności usprawiedliwionej, nauczyciel wyznacza dodatkowy termin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z uwzględnieniem czasu, o którym mowa w ust. 7.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uzyskaną przez ucznia w trakcie sprawdzianu uznaje się za ostateczną ocenę 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25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zajęć edukacyjnych z wyjątkiem niedostatecznej rocznej oceny klasyfikacyjnej, która może być zmieniona w wyniku egzaminu poprawkowego.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54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54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4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1.We wszystkich kwestiach nieujętych w PSO obowiązują przepisy Statutu Szkoły Podstawowej nr 375 im. Orląt Lwowskich w Warszawie.</w:t>
      </w:r>
    </w:p>
    <w:p w:rsidR="00851A25" w:rsidRDefault="00851A25" w:rsidP="00851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2.We wszystkich kwestiach nieujętych w PSO i w Statucie SP nr 375 decyzję podejmuje się 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przepisów Rozporządzenia w sprawie warunków i sposobu oceniania, klasyfikowania i promowania uczniów i słuchaczy oraz przeprowadzania sprawdzianów </w:t>
      </w:r>
      <w:r w:rsid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i egzaminów w szkołach publicznych.</w:t>
      </w:r>
    </w:p>
    <w:p w:rsidR="00C04BA5" w:rsidRPr="00851A25" w:rsidRDefault="00C04BA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bookmarkEnd w:id="0"/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54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ZAŁĄCZNIKI- WYMAGANIA EDUKACYJNE</w:t>
      </w:r>
    </w:p>
    <w:p w:rsidR="00851A25" w:rsidRPr="00851A25" w:rsidRDefault="00851A25" w:rsidP="00851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549B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wynikają z realizowanych programów nauczania w klasach IV i są integralną częścią PSO na poszczególne oceny.</w:t>
      </w:r>
    </w:p>
    <w:p w:rsidR="00BA61EB" w:rsidRDefault="00BA61EB"/>
    <w:sectPr w:rsidR="00BA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BEF"/>
    <w:multiLevelType w:val="multilevel"/>
    <w:tmpl w:val="BE463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754F7"/>
    <w:multiLevelType w:val="multilevel"/>
    <w:tmpl w:val="BA865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E5E51"/>
    <w:multiLevelType w:val="multilevel"/>
    <w:tmpl w:val="254E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64ECC"/>
    <w:multiLevelType w:val="multilevel"/>
    <w:tmpl w:val="3610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25"/>
    <w:rsid w:val="001B6638"/>
    <w:rsid w:val="001E55AE"/>
    <w:rsid w:val="006E2594"/>
    <w:rsid w:val="00851A25"/>
    <w:rsid w:val="00A476DF"/>
    <w:rsid w:val="00BA61EB"/>
    <w:rsid w:val="00C04BA5"/>
    <w:rsid w:val="00E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746"/>
  <w15:chartTrackingRefBased/>
  <w15:docId w15:val="{BFE2EB4C-C851-4BFD-A8BC-9C680424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1A25"/>
  </w:style>
  <w:style w:type="character" w:customStyle="1" w:styleId="eop">
    <w:name w:val="eop"/>
    <w:basedOn w:val="Domylnaczcionkaakapitu"/>
    <w:rsid w:val="00851A25"/>
  </w:style>
  <w:style w:type="character" w:customStyle="1" w:styleId="contextualspellingandgrammarerror">
    <w:name w:val="contextualspellingandgrammarerror"/>
    <w:basedOn w:val="Domylnaczcionkaakapitu"/>
    <w:rsid w:val="00851A25"/>
  </w:style>
  <w:style w:type="character" w:customStyle="1" w:styleId="spellingerror">
    <w:name w:val="spellingerror"/>
    <w:basedOn w:val="Domylnaczcionkaakapitu"/>
    <w:rsid w:val="00851A25"/>
  </w:style>
  <w:style w:type="paragraph" w:styleId="Akapitzlist">
    <w:name w:val="List Paragraph"/>
    <w:basedOn w:val="Normalny"/>
    <w:uiPriority w:val="34"/>
    <w:qFormat/>
    <w:rsid w:val="001B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Smoliska</dc:creator>
  <cp:keywords/>
  <dc:description/>
  <cp:lastModifiedBy>Ewelina Smoliska</cp:lastModifiedBy>
  <cp:revision>5</cp:revision>
  <dcterms:created xsi:type="dcterms:W3CDTF">2020-11-20T17:07:00Z</dcterms:created>
  <dcterms:modified xsi:type="dcterms:W3CDTF">2020-11-20T17:30:00Z</dcterms:modified>
</cp:coreProperties>
</file>