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18E" w:rsidRDefault="00581499">
      <w:pPr>
        <w:rPr>
          <w:rFonts w:ascii="Times New Roman" w:hAnsi="Times New Roman" w:cs="Times New Roman"/>
          <w:sz w:val="20"/>
          <w:szCs w:val="20"/>
        </w:rPr>
      </w:pPr>
      <w:r w:rsidRPr="00581499">
        <w:rPr>
          <w:rFonts w:ascii="Times New Roman" w:hAnsi="Times New Roman" w:cs="Times New Roman"/>
          <w:sz w:val="20"/>
          <w:szCs w:val="20"/>
        </w:rPr>
        <w:t>Imię i nazwisko - …………………………………………………………………..</w:t>
      </w:r>
    </w:p>
    <w:p w:rsidR="00581499" w:rsidRDefault="00581499" w:rsidP="0058149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Wyjaśnij czy w świetle postanowień konferencji wielkiej trójki w Jałcie ( skorzystaj z </w:t>
      </w:r>
      <w:hyperlink r:id="rId5" w:history="1">
        <w:r>
          <w:rPr>
            <w:rStyle w:val="Hipercze"/>
          </w:rPr>
          <w:t>https://pl.wikipedia.org/wiki/Konferencja_ja%C5%82ta%C5%84ska</w:t>
        </w:r>
      </w:hyperlink>
      <w:r>
        <w:t xml:space="preserve"> ) </w:t>
      </w:r>
      <w:r w:rsidRPr="00581499">
        <w:rPr>
          <w:rFonts w:ascii="Times New Roman" w:hAnsi="Times New Roman" w:cs="Times New Roman"/>
          <w:sz w:val="20"/>
          <w:szCs w:val="20"/>
        </w:rPr>
        <w:t xml:space="preserve">sygnatariusze Karty Atlantyckiej przestrzegali jej zasad ujętych w punktach 2 i 3. </w:t>
      </w:r>
    </w:p>
    <w:p w:rsidR="00581499" w:rsidRDefault="00581499" w:rsidP="0058149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…………………………………………………………………………………………………………………….</w:t>
      </w:r>
    </w:p>
    <w:p w:rsidR="00581499" w:rsidRDefault="008D7DF6" w:rsidP="0058149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Wyjaśnij czym był program </w:t>
      </w:r>
      <w:proofErr w:type="spellStart"/>
      <w:r>
        <w:rPr>
          <w:rFonts w:ascii="Times New Roman" w:hAnsi="Times New Roman" w:cs="Times New Roman"/>
          <w:sz w:val="20"/>
          <w:szCs w:val="20"/>
        </w:rPr>
        <w:t>lend-lease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:rsidR="00581499" w:rsidRDefault="00581499" w:rsidP="0058149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……………………………………………………………………………………………………………………..</w:t>
      </w:r>
    </w:p>
    <w:p w:rsidR="007A40F0" w:rsidRDefault="007A40F0" w:rsidP="007A40F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7A40F0">
        <w:rPr>
          <w:rFonts w:ascii="Times New Roman" w:hAnsi="Times New Roman" w:cs="Times New Roman"/>
          <w:sz w:val="20"/>
          <w:szCs w:val="20"/>
        </w:rPr>
        <w:t>Wymień wszystkie postan</w:t>
      </w:r>
      <w:r w:rsidR="008D7DF6">
        <w:rPr>
          <w:rFonts w:ascii="Times New Roman" w:hAnsi="Times New Roman" w:cs="Times New Roman"/>
          <w:sz w:val="20"/>
          <w:szCs w:val="20"/>
        </w:rPr>
        <w:t>owienia konferencji w Kairze w 1943r.</w:t>
      </w:r>
      <w:r w:rsidRPr="007A40F0">
        <w:rPr>
          <w:rFonts w:ascii="Times New Roman" w:hAnsi="Times New Roman" w:cs="Times New Roman"/>
          <w:sz w:val="20"/>
          <w:szCs w:val="20"/>
        </w:rPr>
        <w:t xml:space="preserve"> wskazane w tekście e-podręcznika.</w:t>
      </w:r>
    </w:p>
    <w:p w:rsidR="007A40F0" w:rsidRPr="007A40F0" w:rsidRDefault="007A40F0" w:rsidP="007A40F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…………………………………………………………………………………………………………………….</w:t>
      </w:r>
    </w:p>
    <w:p w:rsidR="00581499" w:rsidRDefault="008D7DF6" w:rsidP="0058149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Wymień postanowienia  konferencji jałtańskiej doty</w:t>
      </w:r>
      <w:r w:rsidR="009E039E">
        <w:rPr>
          <w:rFonts w:ascii="Times New Roman" w:hAnsi="Times New Roman" w:cs="Times New Roman"/>
          <w:sz w:val="20"/>
          <w:szCs w:val="20"/>
        </w:rPr>
        <w:t>czące Niemiec</w:t>
      </w:r>
      <w:r w:rsidRPr="008D7DF6">
        <w:rPr>
          <w:rFonts w:ascii="Times New Roman" w:hAnsi="Times New Roman" w:cs="Times New Roman"/>
          <w:sz w:val="20"/>
          <w:szCs w:val="20"/>
        </w:rPr>
        <w:t xml:space="preserve"> </w:t>
      </w:r>
      <w:r w:rsidRPr="007A40F0">
        <w:rPr>
          <w:rFonts w:ascii="Times New Roman" w:hAnsi="Times New Roman" w:cs="Times New Roman"/>
          <w:sz w:val="20"/>
          <w:szCs w:val="20"/>
        </w:rPr>
        <w:t>wskazane w tekście e-podręcznika.</w:t>
      </w:r>
    </w:p>
    <w:p w:rsidR="007A40F0" w:rsidRDefault="007A40F0" w:rsidP="007A40F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…………………………………………………………………………………………………………………….</w:t>
      </w:r>
    </w:p>
    <w:p w:rsidR="007A40F0" w:rsidRDefault="007A40F0" w:rsidP="007A40F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Na podstawie tabel ze stratami żołnierzy i cywilów w II wojnie światowej odpowiedz na pytania A i B.</w:t>
      </w:r>
    </w:p>
    <w:p w:rsidR="007A40F0" w:rsidRDefault="007A40F0" w:rsidP="007A40F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Porównaj s</w:t>
      </w:r>
      <w:r w:rsidR="008D7DF6">
        <w:rPr>
          <w:rFonts w:ascii="Times New Roman" w:hAnsi="Times New Roman" w:cs="Times New Roman"/>
          <w:sz w:val="20"/>
          <w:szCs w:val="20"/>
        </w:rPr>
        <w:t>traty żołnierzy i cywilów w Polsce</w:t>
      </w:r>
      <w:r>
        <w:rPr>
          <w:rFonts w:ascii="Times New Roman" w:hAnsi="Times New Roman" w:cs="Times New Roman"/>
          <w:sz w:val="20"/>
          <w:szCs w:val="20"/>
        </w:rPr>
        <w:t>. Wyjaśnij czym różnią się one od strat brytyjskich.</w:t>
      </w:r>
    </w:p>
    <w:p w:rsidR="007A40F0" w:rsidRPr="007A40F0" w:rsidRDefault="007A40F0" w:rsidP="007A40F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7A40F0" w:rsidRDefault="007A40F0" w:rsidP="007A40F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Wyciągnij wniosek dotyczący porównania strat cywilów i żołnierzy w II wojnie światowej.</w:t>
      </w:r>
    </w:p>
    <w:p w:rsidR="007A40F0" w:rsidRDefault="007A40F0" w:rsidP="007A40F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7A40F0" w:rsidRDefault="007A40F0" w:rsidP="007A40F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Wymień </w:t>
      </w:r>
      <w:r w:rsidR="0013705F">
        <w:rPr>
          <w:rFonts w:ascii="Times New Roman" w:hAnsi="Times New Roman" w:cs="Times New Roman"/>
          <w:sz w:val="20"/>
          <w:szCs w:val="20"/>
        </w:rPr>
        <w:t xml:space="preserve">3 </w:t>
      </w:r>
      <w:r>
        <w:rPr>
          <w:rFonts w:ascii="Times New Roman" w:hAnsi="Times New Roman" w:cs="Times New Roman"/>
          <w:sz w:val="20"/>
          <w:szCs w:val="20"/>
        </w:rPr>
        <w:t>społeczne konsekwencje wojny</w:t>
      </w:r>
      <w:r w:rsidRPr="007A40F0">
        <w:rPr>
          <w:rFonts w:ascii="Times New Roman" w:hAnsi="Times New Roman" w:cs="Times New Roman"/>
          <w:sz w:val="20"/>
          <w:szCs w:val="20"/>
        </w:rPr>
        <w:t xml:space="preserve"> wskazane w tekście e-podręcznika.</w:t>
      </w:r>
    </w:p>
    <w:p w:rsidR="0013705F" w:rsidRDefault="0013705F" w:rsidP="0013705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13705F" w:rsidRDefault="007C26FF" w:rsidP="0013705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Jakie postacie</w:t>
      </w:r>
      <w:r w:rsidR="0013705F">
        <w:rPr>
          <w:rFonts w:ascii="Times New Roman" w:hAnsi="Times New Roman" w:cs="Times New Roman"/>
          <w:sz w:val="20"/>
          <w:szCs w:val="20"/>
        </w:rPr>
        <w:t xml:space="preserve"> przedstawia poniższa karykatura polityczna? Zinterpretuj jej znaczenie i wyjaśnij</w:t>
      </w:r>
      <w:r>
        <w:rPr>
          <w:rFonts w:ascii="Times New Roman" w:hAnsi="Times New Roman" w:cs="Times New Roman"/>
          <w:sz w:val="20"/>
          <w:szCs w:val="20"/>
        </w:rPr>
        <w:t>, czyjej propagandy wojennej była ona elementem</w:t>
      </w:r>
      <w:r w:rsidR="0013705F">
        <w:rPr>
          <w:rFonts w:ascii="Times New Roman" w:hAnsi="Times New Roman" w:cs="Times New Roman"/>
          <w:sz w:val="20"/>
          <w:szCs w:val="20"/>
        </w:rPr>
        <w:t>.</w:t>
      </w:r>
    </w:p>
    <w:p w:rsidR="0013705F" w:rsidRPr="008D7DF6" w:rsidRDefault="008D7DF6" w:rsidP="008D7DF6">
      <w:pPr>
        <w:ind w:left="360"/>
      </w:pPr>
      <w:r w:rsidRPr="003C74F9"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 wp14:anchorId="0FC4B3E0" wp14:editId="083542DD">
            <wp:extent cx="4819650" cy="3333750"/>
            <wp:effectExtent l="0" t="0" r="0" b="0"/>
            <wp:docPr id="1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05F" w:rsidRPr="0013705F">
        <w:t xml:space="preserve"> </w:t>
      </w:r>
    </w:p>
    <w:p w:rsidR="0013705F" w:rsidRDefault="0013705F" w:rsidP="0013705F">
      <w:pPr>
        <w:spacing w:after="0" w:line="240" w:lineRule="auto"/>
        <w:ind w:left="357"/>
        <w:rPr>
          <w:rFonts w:ascii="Times New Roman" w:hAnsi="Times New Roman" w:cs="Times New Roman"/>
          <w:i/>
          <w:sz w:val="18"/>
          <w:szCs w:val="18"/>
        </w:rPr>
      </w:pPr>
    </w:p>
    <w:p w:rsidR="0013705F" w:rsidRPr="0013705F" w:rsidRDefault="0013705F" w:rsidP="0013705F">
      <w:pPr>
        <w:spacing w:after="0" w:line="240" w:lineRule="auto"/>
        <w:ind w:left="357"/>
        <w:rPr>
          <w:rFonts w:ascii="Times New Roman" w:hAnsi="Times New Roman" w:cs="Times New Roman"/>
          <w:i/>
          <w:sz w:val="18"/>
          <w:szCs w:val="18"/>
        </w:rPr>
      </w:pPr>
    </w:p>
    <w:p w:rsidR="0013705F" w:rsidRDefault="0013705F" w:rsidP="0013705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9E039E" w:rsidRPr="009E039E" w:rsidRDefault="009E039E" w:rsidP="009E039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Na podstawie poniżs</w:t>
      </w:r>
      <w:r w:rsidRPr="009E039E">
        <w:rPr>
          <w:rFonts w:ascii="Times New Roman" w:hAnsi="Times New Roman" w:cs="Times New Roman"/>
          <w:sz w:val="20"/>
          <w:szCs w:val="20"/>
        </w:rPr>
        <w:t xml:space="preserve">zego tekstu (Źródło 1)  i ikonografii rozstrzygnij, czy plakaty ilustrują tezę postawioną przez Józefa </w:t>
      </w:r>
      <w:proofErr w:type="spellStart"/>
      <w:r w:rsidRPr="009E039E">
        <w:rPr>
          <w:rFonts w:ascii="Times New Roman" w:hAnsi="Times New Roman" w:cs="Times New Roman"/>
          <w:sz w:val="20"/>
          <w:szCs w:val="20"/>
        </w:rPr>
        <w:t>Smagę</w:t>
      </w:r>
      <w:proofErr w:type="spellEnd"/>
      <w:r w:rsidRPr="009E039E">
        <w:rPr>
          <w:rFonts w:ascii="Times New Roman" w:hAnsi="Times New Roman" w:cs="Times New Roman"/>
          <w:sz w:val="20"/>
          <w:szCs w:val="20"/>
        </w:rPr>
        <w:t xml:space="preserve">. Odpowiedź uzasadnij, odwołując się do ich treści. </w:t>
      </w:r>
    </w:p>
    <w:p w:rsidR="009E039E" w:rsidRPr="009E039E" w:rsidRDefault="009E039E" w:rsidP="009E039E">
      <w:pPr>
        <w:rPr>
          <w:rFonts w:ascii="Times New Roman" w:hAnsi="Times New Roman" w:cs="Times New Roman"/>
          <w:sz w:val="20"/>
          <w:szCs w:val="20"/>
        </w:rPr>
      </w:pPr>
      <w:r w:rsidRPr="009E039E">
        <w:rPr>
          <w:rFonts w:ascii="Times New Roman" w:hAnsi="Times New Roman" w:cs="Times New Roman"/>
          <w:sz w:val="20"/>
          <w:szCs w:val="20"/>
        </w:rPr>
        <w:t xml:space="preserve">Stanowisko: ……………………………………………………………………………………. </w:t>
      </w:r>
    </w:p>
    <w:p w:rsidR="009E039E" w:rsidRDefault="009E039E" w:rsidP="009E039E">
      <w:pPr>
        <w:rPr>
          <w:rFonts w:ascii="Times New Roman" w:hAnsi="Times New Roman" w:cs="Times New Roman"/>
          <w:sz w:val="20"/>
          <w:szCs w:val="20"/>
        </w:rPr>
      </w:pPr>
      <w:r w:rsidRPr="009E039E">
        <w:rPr>
          <w:rFonts w:ascii="Times New Roman" w:hAnsi="Times New Roman" w:cs="Times New Roman"/>
          <w:sz w:val="20"/>
          <w:szCs w:val="20"/>
        </w:rPr>
        <w:t>Uzasadnienie: …………………………………………………………………………………………………..</w:t>
      </w:r>
    </w:p>
    <w:p w:rsidR="009E039E" w:rsidRPr="009E039E" w:rsidRDefault="009E039E" w:rsidP="009E039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9E039E">
        <w:rPr>
          <w:rFonts w:ascii="Times New Roman" w:hAnsi="Times New Roman" w:cs="Times New Roman"/>
          <w:b/>
          <w:bCs/>
          <w:sz w:val="20"/>
          <w:szCs w:val="20"/>
        </w:rPr>
        <w:t xml:space="preserve">Źródło 1. Fragment opracowania historycznego </w:t>
      </w:r>
    </w:p>
    <w:p w:rsidR="009E039E" w:rsidRPr="009E039E" w:rsidRDefault="009E039E" w:rsidP="009E039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9E039E">
        <w:rPr>
          <w:rFonts w:ascii="Times New Roman" w:hAnsi="Times New Roman" w:cs="Times New Roman"/>
          <w:sz w:val="20"/>
          <w:szCs w:val="20"/>
        </w:rPr>
        <w:t xml:space="preserve">Wojna doprowadziła do charakterystycznych zmian w polityce wewnętrznej i propagandzie. Już samo określenie – „Wielka Wojna Ojczyźniana” – było czymś niezwykłym w państwie marksistowskim. Komunistyczne i proletariackie slogany zostały na czas wojny wyparte przez apologię wielkorosyjskiego patriotyzmu, z leksykonu </w:t>
      </w:r>
      <w:r w:rsidRPr="009E039E">
        <w:rPr>
          <w:rFonts w:ascii="Times New Roman" w:hAnsi="Times New Roman" w:cs="Times New Roman"/>
          <w:i/>
          <w:iCs/>
          <w:sz w:val="20"/>
          <w:szCs w:val="20"/>
        </w:rPr>
        <w:t xml:space="preserve">mass mediów </w:t>
      </w:r>
      <w:r w:rsidRPr="009E039E">
        <w:rPr>
          <w:rFonts w:ascii="Times New Roman" w:hAnsi="Times New Roman" w:cs="Times New Roman"/>
          <w:sz w:val="20"/>
          <w:szCs w:val="20"/>
        </w:rPr>
        <w:t xml:space="preserve">zniknęły słowa: „partia”, „socjalizm”, „komunizm”. </w:t>
      </w:r>
    </w:p>
    <w:p w:rsidR="009E039E" w:rsidRPr="009E039E" w:rsidRDefault="009E039E" w:rsidP="009E039E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  <w:r w:rsidRPr="009E039E">
        <w:rPr>
          <w:rFonts w:ascii="Times New Roman" w:hAnsi="Times New Roman" w:cs="Times New Roman"/>
          <w:sz w:val="16"/>
          <w:szCs w:val="16"/>
        </w:rPr>
        <w:t xml:space="preserve">J. Smaga, </w:t>
      </w:r>
      <w:r w:rsidRPr="009E039E">
        <w:rPr>
          <w:rFonts w:ascii="Times New Roman" w:hAnsi="Times New Roman" w:cs="Times New Roman"/>
          <w:i/>
          <w:iCs/>
          <w:sz w:val="16"/>
          <w:szCs w:val="16"/>
        </w:rPr>
        <w:t>Narodziny i upadek imperium. ZSRR 1917–1991</w:t>
      </w:r>
      <w:r w:rsidRPr="009E039E">
        <w:rPr>
          <w:rFonts w:ascii="Times New Roman" w:hAnsi="Times New Roman" w:cs="Times New Roman"/>
          <w:sz w:val="16"/>
          <w:szCs w:val="16"/>
        </w:rPr>
        <w:t>, Kraków 1992, s. 170.</w:t>
      </w:r>
    </w:p>
    <w:p w:rsidR="009E039E" w:rsidRPr="009E039E" w:rsidRDefault="009E039E" w:rsidP="009E039E">
      <w:pPr>
        <w:rPr>
          <w:rFonts w:ascii="Times New Roman" w:hAnsi="Times New Roman" w:cs="Times New Roman"/>
          <w:sz w:val="20"/>
          <w:szCs w:val="20"/>
        </w:rPr>
      </w:pPr>
    </w:p>
    <w:p w:rsidR="0013705F" w:rsidRDefault="009E039E" w:rsidP="009E039E">
      <w:pPr>
        <w:rPr>
          <w:rFonts w:ascii="Times New Roman" w:hAnsi="Times New Roman" w:cs="Times New Roman"/>
          <w:sz w:val="20"/>
          <w:szCs w:val="20"/>
        </w:rPr>
      </w:pPr>
      <w:r w:rsidRPr="00FB21B3">
        <w:rPr>
          <w:noProof/>
          <w:lang w:eastAsia="pl-PL"/>
        </w:rPr>
        <w:drawing>
          <wp:inline distT="0" distB="0" distL="0" distR="0">
            <wp:extent cx="4229100" cy="37623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9E" w:rsidRDefault="009E039E" w:rsidP="009E039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 przedstawia poniższy plakat, do jakiego wydarzenia nawiązuje i czyjej propagandy jest wyrazem?</w:t>
      </w:r>
    </w:p>
    <w:p w:rsidR="009E039E" w:rsidRDefault="009E039E" w:rsidP="009E039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47BA2A7E">
            <wp:extent cx="1885950" cy="25812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………………………………………………………………………………..</w:t>
      </w:r>
    </w:p>
    <w:p w:rsidR="009E039E" w:rsidRPr="009E039E" w:rsidRDefault="009E039E" w:rsidP="009E039E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9E039E" w:rsidRPr="009E03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9B325F"/>
    <w:multiLevelType w:val="hybridMultilevel"/>
    <w:tmpl w:val="F2A2B3FE"/>
    <w:lvl w:ilvl="0" w:tplc="1E3668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DD8497D"/>
    <w:multiLevelType w:val="hybridMultilevel"/>
    <w:tmpl w:val="7E342C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499"/>
    <w:rsid w:val="000F718E"/>
    <w:rsid w:val="0013705F"/>
    <w:rsid w:val="00581499"/>
    <w:rsid w:val="007A40F0"/>
    <w:rsid w:val="007C26FF"/>
    <w:rsid w:val="008D7DF6"/>
    <w:rsid w:val="009E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2D9F6"/>
  <w15:chartTrackingRefBased/>
  <w15:docId w15:val="{56E2E387-DBD4-4B2D-8A79-6A2E357EF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149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5814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pl.wikipedia.org/wiki/Konferencja_ja%C5%82ta%C5%84sk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2020-03-15T19:09:00Z</dcterms:created>
  <dcterms:modified xsi:type="dcterms:W3CDTF">2020-03-15T19:09:00Z</dcterms:modified>
</cp:coreProperties>
</file>